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9FAFC"/>
        <w:tblCellMar>
          <w:top w:w="225" w:type="dxa"/>
          <w:left w:w="225" w:type="dxa"/>
          <w:bottom w:w="225" w:type="dxa"/>
          <w:right w:w="225" w:type="dxa"/>
        </w:tblCellMar>
        <w:tblLook w:val="04A0" w:firstRow="1" w:lastRow="0" w:firstColumn="1" w:lastColumn="0" w:noHBand="0" w:noVBand="1"/>
      </w:tblPr>
      <w:tblGrid>
        <w:gridCol w:w="3945"/>
        <w:gridCol w:w="1200"/>
        <w:gridCol w:w="4725"/>
      </w:tblGrid>
      <w:tr w:rsidR="00E023CF" w:rsidRPr="00E023CF" w:rsidTr="00E023CF">
        <w:trPr>
          <w:tblCellSpacing w:w="15" w:type="dxa"/>
        </w:trPr>
        <w:tc>
          <w:tcPr>
            <w:tcW w:w="2000" w:type="pct"/>
            <w:shd w:val="clear" w:color="auto" w:fill="F9FAFC"/>
            <w:hideMark/>
          </w:tcPr>
          <w:p w:rsidR="00E023CF" w:rsidRPr="00E023CF" w:rsidRDefault="008938F3" w:rsidP="00E023CF">
            <w:pPr>
              <w:spacing w:after="0" w:line="240" w:lineRule="auto"/>
              <w:jc w:val="center"/>
              <w:rPr>
                <w:rFonts w:ascii="Arial" w:eastAsia="Times New Roman" w:hAnsi="Arial" w:cs="Arial"/>
                <w:color w:val="222222"/>
                <w:sz w:val="18"/>
                <w:szCs w:val="18"/>
              </w:rPr>
            </w:pPr>
            <w:r>
              <w:rPr>
                <w:rFonts w:ascii="Arial" w:eastAsia="Times New Roman" w:hAnsi="Arial" w:cs="Arial"/>
                <w:b/>
                <w:bCs/>
                <w:color w:val="222222"/>
                <w:sz w:val="18"/>
                <w:szCs w:val="18"/>
              </w:rPr>
              <w:t>BỘ TÀI CHÍNH</w:t>
            </w:r>
            <w:bookmarkStart w:id="0" w:name="_GoBack"/>
            <w:bookmarkEnd w:id="0"/>
          </w:p>
          <w:p w:rsidR="00E023CF" w:rsidRPr="00E023CF" w:rsidRDefault="00E023CF" w:rsidP="00E023CF">
            <w:pPr>
              <w:spacing w:after="0" w:line="240" w:lineRule="auto"/>
              <w:jc w:val="center"/>
              <w:rPr>
                <w:rFonts w:ascii="Arial" w:eastAsia="Times New Roman" w:hAnsi="Arial" w:cs="Arial"/>
                <w:color w:val="222222"/>
                <w:sz w:val="18"/>
                <w:szCs w:val="18"/>
              </w:rPr>
            </w:pPr>
            <w:r w:rsidRPr="00E023CF">
              <w:rPr>
                <w:rFonts w:ascii="Arial" w:eastAsia="Times New Roman" w:hAnsi="Arial" w:cs="Arial"/>
                <w:color w:val="222222"/>
                <w:sz w:val="18"/>
                <w:szCs w:val="18"/>
              </w:rPr>
              <w:t>Số: 99/2001/TT-BTC</w:t>
            </w:r>
          </w:p>
        </w:tc>
        <w:tc>
          <w:tcPr>
            <w:tcW w:w="600" w:type="pct"/>
            <w:shd w:val="clear" w:color="auto" w:fill="F9FAFC"/>
            <w:vAlign w:val="center"/>
            <w:hideMark/>
          </w:tcPr>
          <w:p w:rsidR="00E023CF" w:rsidRPr="00E023CF" w:rsidRDefault="00E023CF" w:rsidP="00E023CF">
            <w:pPr>
              <w:spacing w:after="0" w:line="240" w:lineRule="auto"/>
              <w:jc w:val="center"/>
              <w:rPr>
                <w:rFonts w:ascii="Arial" w:eastAsia="Times New Roman" w:hAnsi="Arial" w:cs="Arial"/>
                <w:color w:val="222222"/>
                <w:sz w:val="18"/>
                <w:szCs w:val="18"/>
              </w:rPr>
            </w:pPr>
          </w:p>
        </w:tc>
        <w:tc>
          <w:tcPr>
            <w:tcW w:w="2400" w:type="pct"/>
            <w:shd w:val="clear" w:color="auto" w:fill="F9FAFC"/>
            <w:hideMark/>
          </w:tcPr>
          <w:p w:rsidR="00E023CF" w:rsidRPr="00E023CF" w:rsidRDefault="00E023CF" w:rsidP="00E023CF">
            <w:pPr>
              <w:spacing w:after="0" w:line="240" w:lineRule="auto"/>
              <w:jc w:val="center"/>
              <w:rPr>
                <w:rFonts w:ascii="Arial" w:eastAsia="Times New Roman" w:hAnsi="Arial" w:cs="Arial"/>
                <w:color w:val="222222"/>
                <w:sz w:val="18"/>
                <w:szCs w:val="18"/>
              </w:rPr>
            </w:pPr>
            <w:r w:rsidRPr="00E023CF">
              <w:rPr>
                <w:rFonts w:ascii="Arial" w:eastAsia="Times New Roman" w:hAnsi="Arial" w:cs="Arial"/>
                <w:b/>
                <w:bCs/>
                <w:color w:val="222222"/>
                <w:sz w:val="18"/>
                <w:szCs w:val="18"/>
              </w:rPr>
              <w:t>CỘNG HOÀ XÃ HỘI CHỦ NGHĨA VIỆT NAM</w:t>
            </w:r>
          </w:p>
          <w:p w:rsidR="00E023CF" w:rsidRPr="00E023CF" w:rsidRDefault="00E023CF" w:rsidP="00E023CF">
            <w:pPr>
              <w:spacing w:after="0" w:line="240" w:lineRule="auto"/>
              <w:jc w:val="center"/>
              <w:rPr>
                <w:rFonts w:ascii="Arial" w:eastAsia="Times New Roman" w:hAnsi="Arial" w:cs="Arial"/>
                <w:color w:val="222222"/>
                <w:sz w:val="18"/>
                <w:szCs w:val="18"/>
              </w:rPr>
            </w:pPr>
            <w:r w:rsidRPr="00E023CF">
              <w:rPr>
                <w:rFonts w:ascii="Arial" w:eastAsia="Times New Roman" w:hAnsi="Arial" w:cs="Arial"/>
                <w:b/>
                <w:bCs/>
                <w:color w:val="222222"/>
                <w:sz w:val="18"/>
                <w:szCs w:val="18"/>
              </w:rPr>
              <w:t>Độc lập - Tự do - Hạnh phúc</w:t>
            </w:r>
          </w:p>
          <w:p w:rsidR="00E023CF" w:rsidRPr="00E023CF" w:rsidRDefault="00E023CF" w:rsidP="00E023CF">
            <w:pPr>
              <w:spacing w:after="0" w:line="240" w:lineRule="auto"/>
              <w:jc w:val="right"/>
              <w:rPr>
                <w:rFonts w:ascii="Arial" w:eastAsia="Times New Roman" w:hAnsi="Arial" w:cs="Arial"/>
                <w:color w:val="222222"/>
                <w:sz w:val="18"/>
                <w:szCs w:val="18"/>
              </w:rPr>
            </w:pPr>
            <w:r w:rsidRPr="00E023CF">
              <w:rPr>
                <w:rFonts w:ascii="Arial" w:eastAsia="Times New Roman" w:hAnsi="Arial" w:cs="Arial"/>
                <w:i/>
                <w:iCs/>
                <w:color w:val="222222"/>
                <w:sz w:val="18"/>
                <w:szCs w:val="18"/>
              </w:rPr>
              <w:t>Hà Nội, ngày 05 tháng 12 năm 2001</w:t>
            </w:r>
            <w:r w:rsidRPr="00E023CF">
              <w:rPr>
                <w:rFonts w:ascii="Arial" w:eastAsia="Times New Roman" w:hAnsi="Arial" w:cs="Arial"/>
                <w:color w:val="222222"/>
                <w:sz w:val="18"/>
                <w:szCs w:val="18"/>
              </w:rPr>
              <w:t>                          </w:t>
            </w:r>
          </w:p>
        </w:tc>
      </w:tr>
      <w:tr w:rsidR="00E023CF" w:rsidRPr="00E023CF" w:rsidTr="00E023CF">
        <w:trPr>
          <w:tblCellSpacing w:w="15" w:type="dxa"/>
        </w:trPr>
        <w:tc>
          <w:tcPr>
            <w:tcW w:w="0" w:type="auto"/>
            <w:gridSpan w:val="3"/>
            <w:shd w:val="clear" w:color="auto" w:fill="F9FAFC"/>
            <w:vAlign w:val="center"/>
            <w:hideMark/>
          </w:tcPr>
          <w:p w:rsidR="00E023CF" w:rsidRPr="00E023CF" w:rsidRDefault="00E023CF" w:rsidP="00E023CF">
            <w:pPr>
              <w:spacing w:after="0" w:line="240" w:lineRule="auto"/>
              <w:jc w:val="right"/>
              <w:rPr>
                <w:rFonts w:ascii="Arial" w:eastAsia="Times New Roman" w:hAnsi="Arial" w:cs="Arial"/>
                <w:color w:val="222222"/>
                <w:sz w:val="18"/>
                <w:szCs w:val="18"/>
              </w:rPr>
            </w:pPr>
          </w:p>
        </w:tc>
      </w:tr>
      <w:tr w:rsidR="00E023CF" w:rsidRPr="00E023CF" w:rsidTr="00E023CF">
        <w:trPr>
          <w:tblCellSpacing w:w="15" w:type="dxa"/>
        </w:trPr>
        <w:tc>
          <w:tcPr>
            <w:tcW w:w="0" w:type="auto"/>
            <w:gridSpan w:val="3"/>
            <w:shd w:val="clear" w:color="auto" w:fill="F9FAFC"/>
            <w:vAlign w:val="center"/>
            <w:hideMark/>
          </w:tcPr>
          <w:p w:rsidR="00E023CF" w:rsidRPr="00E023CF" w:rsidRDefault="00E023CF" w:rsidP="00E023CF">
            <w:pPr>
              <w:spacing w:before="120" w:after="120" w:line="240" w:lineRule="auto"/>
              <w:jc w:val="center"/>
              <w:rPr>
                <w:rFonts w:ascii="Arial" w:eastAsia="Times New Roman" w:hAnsi="Arial" w:cs="Arial"/>
                <w:color w:val="222222"/>
                <w:sz w:val="18"/>
                <w:szCs w:val="18"/>
              </w:rPr>
            </w:pPr>
            <w:r w:rsidRPr="00E023CF">
              <w:rPr>
                <w:rFonts w:ascii="Times New Roman" w:eastAsia="Times New Roman" w:hAnsi="Times New Roman" w:cs="Times New Roman"/>
                <w:b/>
                <w:bCs/>
                <w:color w:val="222222"/>
                <w:sz w:val="24"/>
                <w:szCs w:val="24"/>
              </w:rPr>
              <w:t>THÔNG TƯ</w:t>
            </w:r>
          </w:p>
          <w:p w:rsidR="00E023CF" w:rsidRPr="00E023CF" w:rsidRDefault="00E023CF" w:rsidP="00E023CF">
            <w:pPr>
              <w:spacing w:before="120" w:after="120" w:line="240" w:lineRule="auto"/>
              <w:jc w:val="center"/>
              <w:rPr>
                <w:rFonts w:ascii="Arial" w:eastAsia="Times New Roman" w:hAnsi="Arial" w:cs="Arial"/>
                <w:color w:val="222222"/>
                <w:sz w:val="18"/>
                <w:szCs w:val="18"/>
              </w:rPr>
            </w:pPr>
            <w:r w:rsidRPr="00E023CF">
              <w:rPr>
                <w:rFonts w:ascii="Times New Roman" w:eastAsia="Times New Roman" w:hAnsi="Times New Roman" w:cs="Times New Roman"/>
                <w:b/>
                <w:bCs/>
                <w:i/>
                <w:iCs/>
                <w:color w:val="222222"/>
                <w:sz w:val="24"/>
                <w:szCs w:val="24"/>
              </w:rPr>
              <w:t>Hướng dẫn việc ưu tiên kinh phí để</w:t>
            </w:r>
          </w:p>
          <w:p w:rsidR="00E023CF" w:rsidRPr="00E023CF" w:rsidRDefault="00E023CF" w:rsidP="00E023CF">
            <w:pPr>
              <w:spacing w:before="120" w:after="120" w:line="240" w:lineRule="auto"/>
              <w:jc w:val="center"/>
              <w:rPr>
                <w:rFonts w:ascii="Arial" w:eastAsia="Times New Roman" w:hAnsi="Arial" w:cs="Arial"/>
                <w:color w:val="222222"/>
                <w:sz w:val="18"/>
                <w:szCs w:val="18"/>
              </w:rPr>
            </w:pPr>
            <w:r w:rsidRPr="00E023CF">
              <w:rPr>
                <w:rFonts w:ascii="Times New Roman" w:eastAsia="Times New Roman" w:hAnsi="Times New Roman" w:cs="Times New Roman"/>
                <w:b/>
                <w:bCs/>
                <w:i/>
                <w:iCs/>
                <w:color w:val="222222"/>
                <w:sz w:val="24"/>
                <w:szCs w:val="24"/>
              </w:rPr>
              <w:t>ứng dụng và phát triển công nghệ thông tin</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b/>
                <w:bCs/>
                <w:i/>
                <w:iCs/>
                <w:color w:val="222222"/>
                <w:sz w:val="24"/>
                <w:szCs w:val="24"/>
              </w:rPr>
              <w:t> </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i/>
                <w:iCs/>
                <w:color w:val="222222"/>
                <w:sz w:val="24"/>
                <w:szCs w:val="24"/>
              </w:rPr>
              <w:t>Thực hiện Quyết định số 81/2001/QĐ-TTg ngày 24/5/2001 của Thủ tướngChính phủ về việc phê duyệt Chương trình hành động triển khai Chỉ thị số 58CT/TW của Bộ Chính trị về đẩy mạnh ứng dụng và phát triển công nghệ thông tintrong sự nghiệp công nghiệp hoá và hiện đại hoá giai đoạn 2001-2005.</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i/>
                <w:iCs/>
                <w:color w:val="222222"/>
                <w:sz w:val="24"/>
                <w:szCs w:val="24"/>
              </w:rPr>
              <w:t>Bộ Tài chính hướng dẫn việc ưu tiên bố trí kinh phí để ứng dụng vàphát triển công nghệ thông tin của các Bộ, ngành và địa phương như sau:</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i/>
                <w:iCs/>
                <w:color w:val="222222"/>
                <w:sz w:val="24"/>
                <w:szCs w:val="24"/>
              </w:rPr>
              <w:t> </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b/>
                <w:bCs/>
                <w:color w:val="222222"/>
                <w:sz w:val="24"/>
                <w:szCs w:val="24"/>
              </w:rPr>
              <w:t>I - Quy định chung </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CácBộ, ngành và địa phương có trách nhiệm tạo điều kiện thuận lợi và ưu tiên bốtrí kinh phí cho các đơn vị trực thuộc thực hiện việc ứng dụng và phát triểncông nghệ thông tin (CNTT) theo Chỉ thị số 58 CT/TW của Bộ Chính trị về đẩymạnh ứng dụng và phát triển công nghệ thông tin phục vụ sự nghiệp công nghiệphoá, hiện đại hoá; Quyết định số 81/2001/QĐ-TTg ngày 24/5/2001 của Thủ tướngChính phủ về việc phê duyệt chương trình hành động triển khai Chỉ thị số 58CT/TW của Bộ Chính trị về đẩy mạnh ứng dụng và phát triển công nghệ thông tintrong sự nghiệp công nghiệp hoá và hiện đại hoá giai đoạn 2001-2005.</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Cácđơn vị sử dụng ngân sách nhà nước, hàng năm căn cứ vào chỉ tiêu kế hoạch và dựtoán chi ngân sách được cơ quan Chủ quản giao, chủ động ưu tiên bố trí kinh phíđể thực hiện hoàn thành kế hoạch ứng dụng và phát triển CNTT ở đơn vị mình.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Việcứng dụng và phát triển CNTT ở các đơn vị phải đảm bảo nguyên tắc tiết kiệm, cóhiệu quả, phục vụ thiết thực cho nâng cao năng suất và chất lượng công việcchuyên môn, phù hợp với kế hoạch ứng dụng và phát triển CNTT đến năm 2005 củaBộ, ngành và địa phương và điều kiện cụ thể của từng đơn vị.</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Kinhphí để ứng dụng và phát triển CNTT được cân đối vào dự toán chi ngân sách hàngnăm của các Bộ, ngành và địa phương.</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b/>
                <w:bCs/>
                <w:color w:val="222222"/>
                <w:sz w:val="24"/>
                <w:szCs w:val="24"/>
              </w:rPr>
              <w:t>II - Những quy định cụ thể</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1- Xây dựng và triển khai kế hoạch ứng dụng và phát triển CNTT:</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 xml:space="preserve">CácBộ, cơ quan ngang Bộ, cơ quan thuộc Chính phủ, Uỷ ban nhân dân các tỉnh, thànhphố trực thuộc Trung ương thực hiện việc xây dựng kế hoạch 5 năm và hàng năm vềứng dụng và phát </w:t>
            </w:r>
            <w:r w:rsidRPr="00E023CF">
              <w:rPr>
                <w:rFonts w:ascii="Times New Roman" w:eastAsia="Times New Roman" w:hAnsi="Times New Roman" w:cs="Times New Roman"/>
                <w:color w:val="222222"/>
                <w:sz w:val="24"/>
                <w:szCs w:val="24"/>
              </w:rPr>
              <w:lastRenderedPageBreak/>
              <w:t>triển CNTT phù hợp với Chỉ thị số 58 CT/TW của Bộ Chính trị vềđẩy mạnh ứng dụng và phát triển công nghệ thông tin phục vụ sự nghiệp côngnghiệp hoá và hiện đại hoá; Quyết định số 81/2001/QĐ-TTg ngày 24/5/2001 của Thủtướng Chính phủ về việc phê duyệt chương trình hành động triển khai Chỉ thị số58 CT/TW của Bộ Chính trị về đẩy mạnh ứng dụng và phát triển công nghệ thôngtin trong sự nghiệp công nghiệp hoá và hiện đại hoá giai đoạn 2001-2005; Coiđây là một bộ phận ưu tiên trong kế hoạch phát triển kinh tế - xã hội của đơnvị mình.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Cácđơn vị hành chính và sự nghiệp căn cứ vào kế hoạch 5 năm và hàng năm về ứngdụng và phát triển CNTT của Bộ, ngành và địa phương mình và tình hình cụ thểcủa từng đơn vị, xây dựng kế hoạch 5 năm và hàng năm (bao gồm chi thường xuyênvà chi xây dựng cơ bản) để ứng dụng và phát triển CNTT của đơn vị mình trình cơquan quản lý cấp trên phê duyệt.</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Trongkế hoạch 5 năm và hàng năm về ứng dụng và phát triển CNTT của các Bộ, ngành,địa phương và của các đơn vị hành chính sự nghiệp phải thuyết minh rõ dự toánkinh phí theo từng nội dung ứng dụng và phát triển CNTT, kế hoạch thực hiệnhàng năm, phân tích rõ mục tiêu đầu tư và hiệu quả mang lại .</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2-Nội dung chi cho việc ứng dụng và phát triển CNTT:</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Chiduy trì, bảo dưỡng và nâng cao hiệu quả, hiệu suất hoạt động của hệ thống CNTT(bao gồm cả việc chi mua sắm phần cứng, phần mềm, cải tạo cơ sở vật chất, dịchvụ khác).</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Chiứng dụng CNTT vào công việc chuyên môn (Chuyển dần thông tin trên giấy thành thôngtin dưới dạng điện tử; từng bước hình thành và khai thác các kho dữ liệu điệntử; xây dựng hệ thống thông tin điện tử phục vụ yêu cầu của xã hội; cải tiếnqui trình quản lý, nâng cao năng suất và chất lượng công việc chuyên môn ...).</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Chiđào tạo cán bộ, công chức về CNTT.</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Chixây dựng cơ bản theo các dự án được cấp có thẩm quyền phê duyệt.</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3-Về cơ chế tài chính: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3.1-Lập dự toán kinh phí ứng dụng và phát triển CNTT:</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Hàngnăm, các đơn vị sử dụng ngân sách nhà nước, căn cứ vào kế hoạch ứng dụng vàphát triển CNTT đã được cơ quan có thẩm quyền phê duyệt để lập dự toán kinh phícho việc ứng dụng và phát triển CNTT ở đơn vị mình, tổng hợp vào dự toán chichung của đơn vị theo từng loại khoản chi tương ứng với hệ thống mục lục ngânsách nhà nước hiện hành gửi cơ quan chủ quản.</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Dựtoán chi ngân sách nhà nước của các Bộ, ngành và địa phương lập gửi cơ quan Tàichính, cơ quan Kế hoạch và Đầu tư phải thuyết minh rõ phần kinh phí chi choviệc ứng dụng và phát triển CNTT theo từng loại chi theo hệ thống mục lục ngânsách, phần kinh phí này được xếp thứ tự ưu tiên sau dự toán chi lương và cáckhoản có tính chất lương.</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3.2-Phân bổ và giao dự toán chi ngân sách hàng năm:</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 xml:space="preserve">Vềphân bổ dự toán: Các đơn vị dự toán cấp I, căn cứ vào dự toán chi ngân sách nhànước hàng năm được cơ quan có thẩm quyền giao, phải ưu tiên phân bổ kinh phí đểứng dụng và phát triển CNTT cho các đơn vị trực thuộc, đảm bảo cho các đơn vịthực hiện đầy đủ kế hoạch ứng dụng và phát triển CNTT đã được cơ quan có thẩmquyền phê duyệt và phù hợp với tiến độ triển khai thực hiện kế hoạch ở các đơnvị. Cơ quan Tài chính các cấp có trách nhiệm phối hợp và tham gia ý </w:t>
            </w:r>
            <w:r w:rsidRPr="00E023CF">
              <w:rPr>
                <w:rFonts w:ascii="Times New Roman" w:eastAsia="Times New Roman" w:hAnsi="Times New Roman" w:cs="Times New Roman"/>
                <w:color w:val="222222"/>
                <w:sz w:val="24"/>
                <w:szCs w:val="24"/>
              </w:rPr>
              <w:lastRenderedPageBreak/>
              <w:t>kiến với cơquan Chủ quản cùng cấp trong việc phân bổ kinh phí cho các đơn vị trực thuộc,đảm bảo nguyên tắc phải ưu tiên kinh phí cho việc ứng dụng và phát triển CNTT,sau các khoản chi tiền lương, tiền công, phụ cấp và các khoản đóng góp theo lương(bảo hiểm xã hội, bảo hiểm y tế).</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Vềgiao dự toán: Các đơn vị dự toán cấp I có trách nhiệm giao dự toán chi ngânsách cho việc ứng dụng và phát triển CNTT cho các đơn vị trực thuộc cùng với dựtoán chi ngân sách chung của đơn vị. Trong trường hợp đến 25 tháng 1 hàng năm,nếu các đơn vị dự toán cấp I chưa giao được dự toán chi ngân sách chung cho cácđơn vị trực thuộc, thì các đơn vị dự toán cấp I phải giao trước dự toán chingân sách về ứng dụng và phát triển CNTT cho các đơn vị, đảm bảo dự toán chingân sách về ứng dụng và phát triển CNTT được giao trong tháng 1 hàng năm, nhằmtạo điều kiện cho các đơn vị chủ động triển khai ứng dụng và phát triển CNTTngay từ đầu năm.</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3.3-Chấp hành dự toán:</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Cácđơn vị sử dụng ngân sách nhà nước phải đảm bảo tối thiểu dự toán kinh phí chicho việc ứng dụng và phát triển CNTT đã được cơ quan Chủ quản giao, đồng thờiphấn đấu tiết kiệm các khoản chi khác để đẩy nhanh tiến độ đầu tư cho việc ứngdụng và phát triển CNTT của đơn vị mình.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Cáckhoản chi để ứng dụng và phát triển CNTT thực hiện đầu thầu theo hướng dẫn tạiThông tư số 121/2000/TT-BTC ngày 29/12/2000 của Bộ Tài chính, nếu là mua sắmvật tư trang thiết bị; trường hợp đầu tư và xây dựng, thực hiện theo quy chếquản lý đầu tư và xây dựng hiện hành của Chính phủ và các văn bản hướng dẫn củacác Bộ quản lý chuyên ngành.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Việcsử dụng ngân sách nhà nước mua tài sản, vật tư, trang thiết bị phải mua từ cácnguồn hàng đã được sản xuất trong nước, sử dụng các sản phẩm và dịch vụ CNTTtrong nước đã được công nhận đạt tiêu chuẩn chất lượng phù hợp với điều kiệnViệt Nam, đặc biệt đối với những sản phẩm phần mềm, phần cứng trong danh mụcsản phẩm công nghiệp trọng điểm của Nhà nước (trừ trường hợp các loại tài sản,vật tư, trang thiết bị mà hiện tại trong nước không sản xuất được) theo Chỉ thịsố 21/2001/CT-TTg ngày 11/9/2001 của Thủ tướng Chính phủ.   </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Trongphạm vi dự toán chi ngân sách được giao hàng năm và nguồn thu được phép để lạiđơn vị sử dụng, các Bộ, ngành và địa phương ưu tiên dành một khoản kinh phí choviệc ứng dụng và phát triển CNTT, đảm bảo cho việc thực hiện kế hoạch ứng dụngvà phát triển CNTT; hướng dẫn và chỉ đạo các đơn vị trực thuộc thực hiện tốt kếhoạch ứng dụng và phát triển CNTT, đảm bảo đúng tiến độ, đạt hiệu quả cao, phụcvụ thiết thực nhiệm vụ chuyên môn trong sự nghiệp công nghiệp hoá, hiện đạihoá, dần hoà nhập với các nước trong khu vực và trên thế giới.</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3.4-Quản lý, cấp phát và kiểm tra việc sử dụng kinh phí:</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Kinhphí để thực hiện việc ứng dụng và phát triển CNTT được quản lý, cấp phát vàthanh quyết toán theo đúng qui định của Luật Ngân sách nhà nước và các chế độtài chính hiện hành. Đồng thời cơ quan Tài chính, cơ quan Chủ quản, Kho bạc cáccấp có trách nhiệm tạo điều kiện thuận lợi, triển khai nhanh các thủ tục cầnthiết để giúp các đơn vị đảm bảo tiến độ thực hiện kế hoạch ứng dụng và pháttriển CNTT.</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 xml:space="preserve">Cơquan Chủ quản phối hợp với cơ quan Tài chính cùng cấp thường xuyên kiểm tra,giám sát tình hình thực hiện kế hoạch ứng dụng và phát triển CNTT theo kế hoạchđã được duyệt và tình hình </w:t>
            </w:r>
            <w:r w:rsidRPr="00E023CF">
              <w:rPr>
                <w:rFonts w:ascii="Times New Roman" w:eastAsia="Times New Roman" w:hAnsi="Times New Roman" w:cs="Times New Roman"/>
                <w:color w:val="222222"/>
                <w:sz w:val="24"/>
                <w:szCs w:val="24"/>
              </w:rPr>
              <w:lastRenderedPageBreak/>
              <w:t>sử dụng kinh phí ngân sách cấp.</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Thủtrưởng đơn vị phải chịu trách nhiệm về việc thực hiện kế hoạch ứng dụng và pháttriển CNTT và tình hình sử dụng kinh phí ở đơn vị mình.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4-Hạch toán và quyết toán:</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Vềloại - khoản: Kinh phí chi cho việc ứng dụng và phát triển CNTT được sử dụng từnguồn kinh phí nào thì hạch toán và quyết toán vào nguồn kinh phí đó, tương ứngvới các loại - khoản qui định của hệ thống mục lục ngân sách nhà nước Nhà nướchiện hành.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Vềmục chi: Căn cứ vào thực tế chi cho việc ứng dụng và phát triển CNTT, các đơnvị thực hiện việc quyết toán chi vào các mục tương ứng theo quy định của mụclục ngân sách Nhà nứoc hiện hành.</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Kinhphí chi cho việc ứng dụng và phát triển CNTT thực hiện quyết toán chung vàoquyết toán của đơn vị theo đúng qui định của chế độ kế toán hiện hành của Nhà nước.</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b/>
                <w:bCs/>
                <w:color w:val="222222"/>
                <w:sz w:val="24"/>
                <w:szCs w:val="24"/>
              </w:rPr>
              <w:t>III- Điều khoản thi hành </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Thôngtư có hiệu lực thi hành sau 15 ngày kể từ ngày ký và được thực hiện trong giaiđoạn từ năm 2001 đến năm 2005. Trong quá trình thực hiện nếu vướng mắc, đề nghịcác đơn vị, các Bộ, ngành và địa phương phản ánh về Bộ Tài chính để nghiên cứusửa đổi bổ sung cho phù hợp./.</w:t>
            </w:r>
          </w:p>
          <w:p w:rsidR="00E023CF" w:rsidRPr="00E023CF" w:rsidRDefault="00E023CF" w:rsidP="00E023CF">
            <w:pPr>
              <w:spacing w:before="120" w:after="120" w:line="240" w:lineRule="auto"/>
              <w:jc w:val="both"/>
              <w:rPr>
                <w:rFonts w:ascii="Arial" w:eastAsia="Times New Roman" w:hAnsi="Arial" w:cs="Arial"/>
                <w:color w:val="222222"/>
                <w:sz w:val="18"/>
                <w:szCs w:val="18"/>
              </w:rPr>
            </w:pPr>
            <w:r w:rsidRPr="00E023CF">
              <w:rPr>
                <w:rFonts w:ascii="Times New Roman" w:eastAsia="Times New Roman" w:hAnsi="Times New Roman" w:cs="Times New Roman"/>
                <w:color w:val="222222"/>
                <w:sz w:val="24"/>
                <w:szCs w:val="24"/>
              </w:rPr>
              <w:t> </w:t>
            </w:r>
          </w:p>
        </w:tc>
      </w:tr>
      <w:tr w:rsidR="00E023CF" w:rsidRPr="00E023CF" w:rsidTr="00E023CF">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3089"/>
            </w:tblGrid>
            <w:tr w:rsidR="00E023CF" w:rsidRPr="00E023CF">
              <w:trPr>
                <w:tblCellSpacing w:w="15" w:type="dxa"/>
                <w:jc w:val="right"/>
              </w:trPr>
              <w:tc>
                <w:tcPr>
                  <w:tcW w:w="5000" w:type="pct"/>
                  <w:vAlign w:val="center"/>
                  <w:hideMark/>
                </w:tcPr>
                <w:p w:rsidR="00E023CF" w:rsidRPr="00E023CF" w:rsidRDefault="00E023CF" w:rsidP="00E023CF">
                  <w:pPr>
                    <w:spacing w:after="0" w:line="240" w:lineRule="auto"/>
                    <w:jc w:val="center"/>
                    <w:rPr>
                      <w:rFonts w:ascii="Times New Roman" w:eastAsia="Times New Roman" w:hAnsi="Times New Roman" w:cs="Times New Roman"/>
                      <w:sz w:val="24"/>
                      <w:szCs w:val="24"/>
                    </w:rPr>
                  </w:pPr>
                  <w:r w:rsidRPr="00E023CF">
                    <w:rPr>
                      <w:rFonts w:ascii="Times New Roman" w:eastAsia="Times New Roman" w:hAnsi="Times New Roman" w:cs="Times New Roman"/>
                      <w:b/>
                      <w:bCs/>
                      <w:sz w:val="24"/>
                      <w:szCs w:val="24"/>
                    </w:rPr>
                    <w:lastRenderedPageBreak/>
                    <w:t>KT. BỘ TRƯỞNG</w:t>
                  </w:r>
                </w:p>
              </w:tc>
            </w:tr>
            <w:tr w:rsidR="00E023CF" w:rsidRPr="00E023CF">
              <w:trPr>
                <w:tblCellSpacing w:w="15" w:type="dxa"/>
                <w:jc w:val="right"/>
              </w:trPr>
              <w:tc>
                <w:tcPr>
                  <w:tcW w:w="5000" w:type="pct"/>
                  <w:vAlign w:val="center"/>
                  <w:hideMark/>
                </w:tcPr>
                <w:p w:rsidR="00E023CF" w:rsidRPr="00E023CF" w:rsidRDefault="00E023CF" w:rsidP="00E023CF">
                  <w:pPr>
                    <w:spacing w:after="0" w:line="240" w:lineRule="auto"/>
                    <w:jc w:val="center"/>
                    <w:rPr>
                      <w:rFonts w:ascii="Times New Roman" w:eastAsia="Times New Roman" w:hAnsi="Times New Roman" w:cs="Times New Roman"/>
                      <w:sz w:val="24"/>
                      <w:szCs w:val="24"/>
                    </w:rPr>
                  </w:pPr>
                  <w:r w:rsidRPr="00E023CF">
                    <w:rPr>
                      <w:rFonts w:ascii="Times New Roman" w:eastAsia="Times New Roman" w:hAnsi="Times New Roman" w:cs="Times New Roman"/>
                      <w:b/>
                      <w:bCs/>
                      <w:sz w:val="24"/>
                      <w:szCs w:val="24"/>
                    </w:rPr>
                    <w:t>THỨ TRƯỞNG</w:t>
                  </w:r>
                </w:p>
              </w:tc>
            </w:tr>
            <w:tr w:rsidR="00E023CF" w:rsidRPr="00E023CF">
              <w:trPr>
                <w:tblCellSpacing w:w="15" w:type="dxa"/>
                <w:jc w:val="right"/>
              </w:trPr>
              <w:tc>
                <w:tcPr>
                  <w:tcW w:w="5000" w:type="pct"/>
                  <w:vAlign w:val="center"/>
                  <w:hideMark/>
                </w:tcPr>
                <w:p w:rsidR="00E023CF" w:rsidRPr="00E023CF" w:rsidRDefault="00E023CF" w:rsidP="00E023CF">
                  <w:pPr>
                    <w:spacing w:after="0" w:line="240" w:lineRule="auto"/>
                    <w:jc w:val="center"/>
                    <w:rPr>
                      <w:rFonts w:ascii="Times New Roman" w:eastAsia="Times New Roman" w:hAnsi="Times New Roman" w:cs="Times New Roman"/>
                      <w:sz w:val="24"/>
                      <w:szCs w:val="24"/>
                    </w:rPr>
                  </w:pPr>
                  <w:r w:rsidRPr="00E023CF">
                    <w:rPr>
                      <w:rFonts w:ascii="Times New Roman" w:eastAsia="Times New Roman" w:hAnsi="Times New Roman" w:cs="Times New Roman"/>
                      <w:i/>
                      <w:iCs/>
                      <w:sz w:val="24"/>
                      <w:szCs w:val="24"/>
                    </w:rPr>
                    <w:t>(Đã ký)</w:t>
                  </w:r>
                </w:p>
              </w:tc>
            </w:tr>
            <w:tr w:rsidR="00E023CF" w:rsidRPr="00E023CF">
              <w:trPr>
                <w:tblCellSpacing w:w="15" w:type="dxa"/>
                <w:jc w:val="right"/>
              </w:trPr>
              <w:tc>
                <w:tcPr>
                  <w:tcW w:w="5000" w:type="pct"/>
                  <w:vAlign w:val="center"/>
                  <w:hideMark/>
                </w:tcPr>
                <w:p w:rsidR="00E023CF" w:rsidRPr="00E023CF" w:rsidRDefault="00E023CF" w:rsidP="00E023CF">
                  <w:pPr>
                    <w:spacing w:after="0" w:line="240" w:lineRule="auto"/>
                    <w:jc w:val="center"/>
                    <w:rPr>
                      <w:rFonts w:ascii="Times New Roman" w:eastAsia="Times New Roman" w:hAnsi="Times New Roman" w:cs="Times New Roman"/>
                      <w:sz w:val="24"/>
                      <w:szCs w:val="24"/>
                    </w:rPr>
                  </w:pPr>
                  <w:r w:rsidRPr="00E023CF">
                    <w:rPr>
                      <w:rFonts w:ascii="Times New Roman" w:eastAsia="Times New Roman" w:hAnsi="Times New Roman" w:cs="Times New Roman"/>
                      <w:sz w:val="24"/>
                      <w:szCs w:val="24"/>
                    </w:rPr>
                    <w:t> </w:t>
                  </w:r>
                </w:p>
              </w:tc>
            </w:tr>
            <w:tr w:rsidR="00E023CF" w:rsidRPr="00E023CF">
              <w:trPr>
                <w:tblCellSpacing w:w="15" w:type="dxa"/>
                <w:jc w:val="right"/>
              </w:trPr>
              <w:tc>
                <w:tcPr>
                  <w:tcW w:w="5000" w:type="pct"/>
                  <w:vAlign w:val="center"/>
                  <w:hideMark/>
                </w:tcPr>
                <w:p w:rsidR="00E023CF" w:rsidRPr="00E023CF" w:rsidRDefault="00E023CF" w:rsidP="00E023CF">
                  <w:pPr>
                    <w:spacing w:after="0" w:line="240" w:lineRule="auto"/>
                    <w:jc w:val="center"/>
                    <w:rPr>
                      <w:rFonts w:ascii="Times New Roman" w:eastAsia="Times New Roman" w:hAnsi="Times New Roman" w:cs="Times New Roman"/>
                      <w:sz w:val="24"/>
                      <w:szCs w:val="24"/>
                    </w:rPr>
                  </w:pPr>
                  <w:r w:rsidRPr="00E023CF">
                    <w:rPr>
                      <w:rFonts w:ascii="Times New Roman" w:eastAsia="Times New Roman" w:hAnsi="Times New Roman" w:cs="Times New Roman"/>
                      <w:sz w:val="24"/>
                      <w:szCs w:val="24"/>
                    </w:rPr>
                    <w:t> </w:t>
                  </w:r>
                </w:p>
              </w:tc>
            </w:tr>
            <w:tr w:rsidR="00E023CF" w:rsidRPr="00E023CF">
              <w:trPr>
                <w:tblCellSpacing w:w="15" w:type="dxa"/>
                <w:jc w:val="right"/>
              </w:trPr>
              <w:tc>
                <w:tcPr>
                  <w:tcW w:w="5000" w:type="pct"/>
                  <w:vAlign w:val="center"/>
                  <w:hideMark/>
                </w:tcPr>
                <w:p w:rsidR="00E023CF" w:rsidRPr="00E023CF" w:rsidRDefault="00E023CF" w:rsidP="00E023CF">
                  <w:pPr>
                    <w:spacing w:after="0" w:line="240" w:lineRule="auto"/>
                    <w:jc w:val="center"/>
                    <w:rPr>
                      <w:rFonts w:ascii="Times New Roman" w:eastAsia="Times New Roman" w:hAnsi="Times New Roman" w:cs="Times New Roman"/>
                      <w:sz w:val="24"/>
                      <w:szCs w:val="24"/>
                    </w:rPr>
                  </w:pPr>
                  <w:r w:rsidRPr="00E023CF">
                    <w:rPr>
                      <w:rFonts w:ascii="Times New Roman" w:eastAsia="Times New Roman" w:hAnsi="Times New Roman" w:cs="Times New Roman"/>
                      <w:b/>
                      <w:bCs/>
                      <w:sz w:val="24"/>
                      <w:szCs w:val="24"/>
                    </w:rPr>
                    <w:t>Nguyễn Thị Kim Ngân</w:t>
                  </w:r>
                </w:p>
              </w:tc>
            </w:tr>
          </w:tbl>
          <w:p w:rsidR="00E023CF" w:rsidRPr="00E023CF" w:rsidRDefault="00E023CF" w:rsidP="00E023CF">
            <w:pPr>
              <w:spacing w:after="0" w:line="240" w:lineRule="auto"/>
              <w:jc w:val="right"/>
              <w:rPr>
                <w:rFonts w:ascii="Arial" w:eastAsia="Times New Roman" w:hAnsi="Arial" w:cs="Arial"/>
                <w:color w:val="222222"/>
                <w:sz w:val="18"/>
                <w:szCs w:val="18"/>
              </w:rPr>
            </w:pPr>
          </w:p>
        </w:tc>
      </w:tr>
    </w:tbl>
    <w:p w:rsidR="00A30401" w:rsidRDefault="00A30401"/>
    <w:sectPr w:rsidR="00A30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CF"/>
    <w:rsid w:val="008938F3"/>
    <w:rsid w:val="00A30401"/>
    <w:rsid w:val="00E02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23CF"/>
  </w:style>
  <w:style w:type="paragraph" w:styleId="NormalWeb">
    <w:name w:val="Normal (Web)"/>
    <w:basedOn w:val="Normal"/>
    <w:uiPriority w:val="99"/>
    <w:semiHidden/>
    <w:unhideWhenUsed/>
    <w:rsid w:val="00E023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23CF"/>
  </w:style>
  <w:style w:type="paragraph" w:styleId="NormalWeb">
    <w:name w:val="Normal (Web)"/>
    <w:basedOn w:val="Normal"/>
    <w:uiPriority w:val="99"/>
    <w:semiHidden/>
    <w:unhideWhenUsed/>
    <w:rsid w:val="00E023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77659">
      <w:bodyDiv w:val="1"/>
      <w:marLeft w:val="0"/>
      <w:marRight w:val="0"/>
      <w:marTop w:val="0"/>
      <w:marBottom w:val="0"/>
      <w:divBdr>
        <w:top w:val="none" w:sz="0" w:space="0" w:color="auto"/>
        <w:left w:val="none" w:sz="0" w:space="0" w:color="auto"/>
        <w:bottom w:val="none" w:sz="0" w:space="0" w:color="auto"/>
        <w:right w:val="none" w:sz="0" w:space="0" w:color="auto"/>
      </w:divBdr>
      <w:divsChild>
        <w:div w:id="540290661">
          <w:marLeft w:val="0"/>
          <w:marRight w:val="0"/>
          <w:marTop w:val="0"/>
          <w:marBottom w:val="0"/>
          <w:divBdr>
            <w:top w:val="none" w:sz="0" w:space="0" w:color="auto"/>
            <w:left w:val="none" w:sz="0" w:space="0" w:color="auto"/>
            <w:bottom w:val="none" w:sz="0" w:space="0" w:color="auto"/>
            <w:right w:val="none" w:sz="0" w:space="0" w:color="auto"/>
          </w:divBdr>
        </w:div>
        <w:div w:id="2069985571">
          <w:marLeft w:val="0"/>
          <w:marRight w:val="0"/>
          <w:marTop w:val="0"/>
          <w:marBottom w:val="0"/>
          <w:divBdr>
            <w:top w:val="none" w:sz="0" w:space="0" w:color="auto"/>
            <w:left w:val="none" w:sz="0" w:space="0" w:color="auto"/>
            <w:bottom w:val="none" w:sz="0" w:space="0" w:color="auto"/>
            <w:right w:val="none" w:sz="0" w:space="0" w:color="auto"/>
          </w:divBdr>
        </w:div>
        <w:div w:id="1861501723">
          <w:marLeft w:val="0"/>
          <w:marRight w:val="0"/>
          <w:marTop w:val="0"/>
          <w:marBottom w:val="0"/>
          <w:divBdr>
            <w:top w:val="none" w:sz="0" w:space="0" w:color="auto"/>
            <w:left w:val="none" w:sz="0" w:space="0" w:color="auto"/>
            <w:bottom w:val="none" w:sz="0" w:space="0" w:color="auto"/>
            <w:right w:val="none" w:sz="0" w:space="0" w:color="auto"/>
          </w:divBdr>
        </w:div>
        <w:div w:id="1911384425">
          <w:marLeft w:val="0"/>
          <w:marRight w:val="0"/>
          <w:marTop w:val="0"/>
          <w:marBottom w:val="0"/>
          <w:divBdr>
            <w:top w:val="none" w:sz="0" w:space="0" w:color="auto"/>
            <w:left w:val="none" w:sz="0" w:space="0" w:color="auto"/>
            <w:bottom w:val="none" w:sz="0" w:space="0" w:color="auto"/>
            <w:right w:val="none" w:sz="0" w:space="0" w:color="auto"/>
          </w:divBdr>
          <w:divsChild>
            <w:div w:id="20526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8.1X64 M1</dc:creator>
  <cp:keywords/>
  <dc:description/>
  <cp:lastModifiedBy>A</cp:lastModifiedBy>
  <cp:revision>2</cp:revision>
  <dcterms:created xsi:type="dcterms:W3CDTF">2015-05-07T03:57:00Z</dcterms:created>
  <dcterms:modified xsi:type="dcterms:W3CDTF">2015-05-07T04:12:00Z</dcterms:modified>
</cp:coreProperties>
</file>