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67"/>
        <w:gridCol w:w="5704"/>
      </w:tblGrid>
      <w:tr w:rsidR="009964F8" w:rsidRPr="009964F8" w:rsidTr="009964F8">
        <w:trPr>
          <w:trHeight w:val="955"/>
          <w:tblCellSpacing w:w="0" w:type="dxa"/>
        </w:trPr>
        <w:tc>
          <w:tcPr>
            <w:tcW w:w="3467" w:type="dxa"/>
            <w:shd w:val="clear" w:color="auto" w:fill="FFFFFF"/>
            <w:tcMar>
              <w:top w:w="0" w:type="dxa"/>
              <w:left w:w="108" w:type="dxa"/>
              <w:bottom w:w="0" w:type="dxa"/>
              <w:right w:w="108" w:type="dxa"/>
            </w:tcMar>
            <w:hideMark/>
          </w:tcPr>
          <w:p w:rsidR="009964F8" w:rsidRPr="009964F8" w:rsidRDefault="009964F8" w:rsidP="009964F8">
            <w:pPr>
              <w:spacing w:before="120" w:after="120" w:line="234" w:lineRule="atLeast"/>
              <w:jc w:val="center"/>
              <w:rPr>
                <w:rFonts w:ascii="Arial" w:eastAsia="Times New Roman" w:hAnsi="Arial" w:cs="Arial"/>
                <w:color w:val="000000"/>
                <w:sz w:val="18"/>
                <w:szCs w:val="18"/>
                <w:lang w:eastAsia="vi-VN"/>
              </w:rPr>
            </w:pPr>
            <w:bookmarkStart w:id="0" w:name="_GoBack"/>
            <w:bookmarkEnd w:id="0"/>
            <w:r w:rsidRPr="009964F8">
              <w:rPr>
                <w:rFonts w:ascii="Arial" w:eastAsia="Times New Roman" w:hAnsi="Arial" w:cs="Arial"/>
                <w:b/>
                <w:bCs/>
                <w:color w:val="000000"/>
                <w:sz w:val="18"/>
                <w:szCs w:val="18"/>
                <w:lang w:eastAsia="vi-VN"/>
              </w:rPr>
              <w:t>THỦ TƯỚNG CHÍNH PHỦ</w:t>
            </w:r>
            <w:r w:rsidRPr="009964F8">
              <w:rPr>
                <w:rFonts w:ascii="Arial" w:eastAsia="Times New Roman" w:hAnsi="Arial" w:cs="Arial"/>
                <w:b/>
                <w:bCs/>
                <w:color w:val="000000"/>
                <w:sz w:val="18"/>
                <w:szCs w:val="18"/>
                <w:lang w:eastAsia="vi-VN"/>
              </w:rPr>
              <w:br/>
              <w:t>--------</w:t>
            </w:r>
          </w:p>
        </w:tc>
        <w:tc>
          <w:tcPr>
            <w:tcW w:w="5704" w:type="dxa"/>
            <w:shd w:val="clear" w:color="auto" w:fill="FFFFFF"/>
            <w:tcMar>
              <w:top w:w="0" w:type="dxa"/>
              <w:left w:w="108" w:type="dxa"/>
              <w:bottom w:w="0" w:type="dxa"/>
              <w:right w:w="108" w:type="dxa"/>
            </w:tcMar>
            <w:hideMark/>
          </w:tcPr>
          <w:p w:rsidR="009964F8" w:rsidRPr="009964F8" w:rsidRDefault="009964F8" w:rsidP="009964F8">
            <w:pPr>
              <w:spacing w:before="120" w:after="120" w:line="234" w:lineRule="atLeast"/>
              <w:jc w:val="center"/>
              <w:rPr>
                <w:rFonts w:ascii="Arial" w:eastAsia="Times New Roman" w:hAnsi="Arial" w:cs="Arial"/>
                <w:color w:val="000000"/>
                <w:sz w:val="18"/>
                <w:szCs w:val="18"/>
                <w:lang w:eastAsia="vi-VN"/>
              </w:rPr>
            </w:pPr>
            <w:r w:rsidRPr="009964F8">
              <w:rPr>
                <w:rFonts w:ascii="Arial" w:eastAsia="Times New Roman" w:hAnsi="Arial" w:cs="Arial"/>
                <w:b/>
                <w:bCs/>
                <w:color w:val="000000"/>
                <w:sz w:val="18"/>
                <w:szCs w:val="18"/>
                <w:lang w:eastAsia="vi-VN"/>
              </w:rPr>
              <w:t>CỘNG HÒA XÃ HỘI CHỦ NGHĨA VIỆT NAM</w:t>
            </w:r>
            <w:r w:rsidRPr="009964F8">
              <w:rPr>
                <w:rFonts w:ascii="Arial" w:eastAsia="Times New Roman" w:hAnsi="Arial" w:cs="Arial"/>
                <w:b/>
                <w:bCs/>
                <w:color w:val="000000"/>
                <w:sz w:val="18"/>
                <w:szCs w:val="18"/>
                <w:lang w:eastAsia="vi-VN"/>
              </w:rPr>
              <w:br/>
              <w:t>Độc lập - Tự do - Hạnh phúc</w:t>
            </w:r>
            <w:r w:rsidRPr="009964F8">
              <w:rPr>
                <w:rFonts w:ascii="Arial" w:eastAsia="Times New Roman" w:hAnsi="Arial" w:cs="Arial"/>
                <w:b/>
                <w:bCs/>
                <w:color w:val="000000"/>
                <w:sz w:val="18"/>
                <w:szCs w:val="18"/>
                <w:lang w:eastAsia="vi-VN"/>
              </w:rPr>
              <w:br/>
              <w:t>---------------</w:t>
            </w:r>
          </w:p>
        </w:tc>
      </w:tr>
      <w:tr w:rsidR="009964F8" w:rsidRPr="009964F8" w:rsidTr="009964F8">
        <w:trPr>
          <w:trHeight w:val="470"/>
          <w:tblCellSpacing w:w="0" w:type="dxa"/>
        </w:trPr>
        <w:tc>
          <w:tcPr>
            <w:tcW w:w="3467" w:type="dxa"/>
            <w:shd w:val="clear" w:color="auto" w:fill="FFFFFF"/>
            <w:tcMar>
              <w:top w:w="0" w:type="dxa"/>
              <w:left w:w="108" w:type="dxa"/>
              <w:bottom w:w="0" w:type="dxa"/>
              <w:right w:w="108" w:type="dxa"/>
            </w:tcMar>
            <w:hideMark/>
          </w:tcPr>
          <w:p w:rsidR="009964F8" w:rsidRPr="009964F8" w:rsidRDefault="009964F8" w:rsidP="009964F8">
            <w:pPr>
              <w:spacing w:before="120" w:after="120" w:line="234" w:lineRule="atLeast"/>
              <w:jc w:val="center"/>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Số: 33/CT-TTg</w:t>
            </w:r>
          </w:p>
        </w:tc>
        <w:tc>
          <w:tcPr>
            <w:tcW w:w="5704" w:type="dxa"/>
            <w:shd w:val="clear" w:color="auto" w:fill="FFFFFF"/>
            <w:tcMar>
              <w:top w:w="0" w:type="dxa"/>
              <w:left w:w="108" w:type="dxa"/>
              <w:bottom w:w="0" w:type="dxa"/>
              <w:right w:w="108" w:type="dxa"/>
            </w:tcMar>
            <w:hideMark/>
          </w:tcPr>
          <w:p w:rsidR="009964F8" w:rsidRPr="009964F8" w:rsidRDefault="009964F8" w:rsidP="009964F8">
            <w:pPr>
              <w:spacing w:before="120" w:after="120" w:line="234" w:lineRule="atLeast"/>
              <w:jc w:val="right"/>
              <w:rPr>
                <w:rFonts w:ascii="Arial" w:eastAsia="Times New Roman" w:hAnsi="Arial" w:cs="Arial"/>
                <w:color w:val="000000"/>
                <w:sz w:val="18"/>
                <w:szCs w:val="18"/>
                <w:lang w:eastAsia="vi-VN"/>
              </w:rPr>
            </w:pPr>
            <w:r w:rsidRPr="009964F8">
              <w:rPr>
                <w:rFonts w:ascii="Arial" w:eastAsia="Times New Roman" w:hAnsi="Arial" w:cs="Arial"/>
                <w:i/>
                <w:iCs/>
                <w:color w:val="000000"/>
                <w:sz w:val="18"/>
                <w:szCs w:val="18"/>
                <w:lang w:eastAsia="vi-VN"/>
              </w:rPr>
              <w:t>Hà Nội, ngày 20 tháng 8 năm 2020</w:t>
            </w:r>
          </w:p>
        </w:tc>
      </w:tr>
    </w:tbl>
    <w:p w:rsidR="009964F8" w:rsidRPr="009964F8" w:rsidRDefault="009964F8" w:rsidP="009964F8">
      <w:pPr>
        <w:shd w:val="clear" w:color="auto" w:fill="FFFFFF"/>
        <w:spacing w:before="120" w:after="120" w:line="234" w:lineRule="atLeast"/>
        <w:jc w:val="center"/>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 </w:t>
      </w:r>
    </w:p>
    <w:p w:rsidR="009964F8" w:rsidRPr="009964F8" w:rsidRDefault="009964F8" w:rsidP="009964F8">
      <w:pPr>
        <w:shd w:val="clear" w:color="auto" w:fill="FFFFFF"/>
        <w:spacing w:after="0" w:line="234" w:lineRule="atLeast"/>
        <w:jc w:val="center"/>
        <w:rPr>
          <w:rFonts w:ascii="Arial" w:eastAsia="Times New Roman" w:hAnsi="Arial" w:cs="Arial"/>
          <w:color w:val="000000"/>
          <w:sz w:val="18"/>
          <w:szCs w:val="18"/>
          <w:lang w:eastAsia="vi-VN"/>
        </w:rPr>
      </w:pPr>
      <w:bookmarkStart w:id="1" w:name="loai_1"/>
      <w:r w:rsidRPr="009964F8">
        <w:rPr>
          <w:rFonts w:ascii="Arial" w:eastAsia="Times New Roman" w:hAnsi="Arial" w:cs="Arial"/>
          <w:b/>
          <w:bCs/>
          <w:color w:val="000000"/>
          <w:sz w:val="24"/>
          <w:szCs w:val="24"/>
          <w:lang w:eastAsia="vi-VN"/>
        </w:rPr>
        <w:t>CHỈ THỊ</w:t>
      </w:r>
      <w:bookmarkEnd w:id="1"/>
    </w:p>
    <w:p w:rsidR="009964F8" w:rsidRPr="009964F8" w:rsidRDefault="009964F8" w:rsidP="009964F8">
      <w:pPr>
        <w:shd w:val="clear" w:color="auto" w:fill="FFFFFF"/>
        <w:spacing w:after="0" w:line="234" w:lineRule="atLeast"/>
        <w:jc w:val="center"/>
        <w:rPr>
          <w:rFonts w:ascii="Arial" w:eastAsia="Times New Roman" w:hAnsi="Arial" w:cs="Arial"/>
          <w:color w:val="000000"/>
          <w:sz w:val="18"/>
          <w:szCs w:val="18"/>
          <w:lang w:eastAsia="vi-VN"/>
        </w:rPr>
      </w:pPr>
      <w:bookmarkStart w:id="2" w:name="loai_1_name"/>
      <w:r w:rsidRPr="009964F8">
        <w:rPr>
          <w:rFonts w:ascii="Arial" w:eastAsia="Times New Roman" w:hAnsi="Arial" w:cs="Arial"/>
          <w:color w:val="000000"/>
          <w:sz w:val="18"/>
          <w:szCs w:val="18"/>
          <w:lang w:eastAsia="vi-VN"/>
        </w:rPr>
        <w:t>VỀ TĂNG CƯỜNG QUẢN LÝ, TÁI SỬ DỤNG, TÁI CHẾ, XỬ LÝ VÀ GIẢM THIỂU CHẤT THẢI NHỰA</w:t>
      </w:r>
      <w:bookmarkEnd w:id="2"/>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Ô nhiễm nhựa đang trở thành một trong những thách thức lớn nhất mà các quốc gia đang phải đối mặt. Mỗi năm lượng chất thải nhựa do con người thải ra trên phạm vi toàn cầu đủ để phủ kín 4 lần diện tích bề mặt trái đất, trong đó 13 triệu tấn chất thải nhựa được đổ ra đại dương. Việc lạm dụng sử dụng sản phẩm nhựa, nhất là túi ni-lông khó phân hủy, sản phẩm nhựa dùng một lần đã và đang để lại những hậu quả nghiêm trọng đối với môi trường, vấn đề ô nhiễm nhựa, đặc biệt là ô nhiễm nhựa đại dương là vấn đề thực sự đáng báo động, đã, đang và sẽ gây thiệt hại to lớn cho môi trường sinh thái ở nước ta.</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Nhận thức được vai trò trong giải quyết cuộc khủng hoảng chất thải nhựa toàn cầu, Việt Nam, một thành viên có trách nhiệm của Liên hợp quốc, đã cam kết hành động mạnh mẽ thực hiện giảm thiểu chất thải nhựa để bảo vệ môi trường sinh thái biển và đại dương. Năm 2017, Việt Nam chính thức gia nhập danh sách 127 quốc gia thông qua Nghị quyết Hội đồng Môi trường Liên hợp quốc của Chương trình Môi trường Liên hợp quốc về chất thải nhựa và vi nhựa đại dương. Năm 2018, tại Hội nghị thượng đỉnh G7 tổ chức ở Canada, Thủ tướng Chính phủ đã cam kết hành động cũng như kêu gọi hợp tác toàn cầu trong việc giải quyết vấn đề rác thải nhựa trên biển. Năm 2019, Thủ tướng Chính phủ đã phát động phong trào chống chất thải nhựa trên toàn quốc, nhiều cơ quan, tổ chức, địa phương, doanh nghiệp và các cá nhân đã có nhiều hành động thiết thực, ý nghĩa, hiệu quả để chống, giảm thiểu chất thải nhựa.</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Nhằm tiếp tục tăng cường hiệu quả các hoạt động quản lý, tái sử dụng, tái chế, xử lý nhựa đã qua sử dụng, giảm thiểu phát thải chất thải nhựa ra môi trường, Thủ tướng Chính phủ chỉ thị:</w:t>
      </w:r>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3" w:name="dieu_1"/>
      <w:r w:rsidRPr="009964F8">
        <w:rPr>
          <w:rFonts w:ascii="Arial" w:eastAsia="Times New Roman" w:hAnsi="Arial" w:cs="Arial"/>
          <w:color w:val="000000"/>
          <w:sz w:val="18"/>
          <w:szCs w:val="18"/>
          <w:lang w:eastAsia="vi-VN"/>
        </w:rPr>
        <w:t>1. Bộ trưởng, Thủ trưởng cơ quan ngang bộ, cơ quan thuộc Chính phủ, Ủy ban nhân dân tỉnh, thành phố trực thuộc Trung ương ban hành chỉ thị hoặc kế hoạch giảm thiểu, phân loại, thu gom, tái sử dụng, tái chế và xử lý chất thải nhựa trong ngành, lĩnh vực và địa bàn quản lý (hoàn thành trước ngày 30 tháng 10 năm 2020); trong đó chỉ đạo, yêu cầu các cơ quan nhà nước, đơn vị sự nghiệp công lập trực thuộc thực hiện một số các hoạt động cụ thể như sau:</w:t>
      </w:r>
      <w:bookmarkEnd w:id="3"/>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a) Gương mẫu, tích cực và đi đầu trong việc giảm thiểu chất thải nhựa; hạn chế tối đa việc sử dụng các sản phẩm nhựa dùng một lần (bao gồm túi ni-lông khó phân hủy, bao gói nhựa thực phẩm, chai lọ nhựa, ống hút, hộp xốp đựng thực phẩm, cốc và bộ đồ ăn.v.v...); không sử dụng băng rôn, khẩu hiệu, chai, cốc, ống hút, bát, đũa nhựa.... dùng một lần tại công sở và trong các hội nghị, hội thảo, cuộc họp và ngày lễ, ngày kỷ niệm và các sự kiện khác; ưu tiên lựa chọn các sản phẩm tái chế, thân thiện với môi trường;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b) Tiên phong, gương mẫu thực hiện phân loại rác thải tại nguồn ngay tại công sở, bố trí thùng rác để phân loại rác thải tại các cơ quan, đơn vị; chất thải nhựa và các chất thải khác có thể tái chế không được để lẫn với chất thải hữu cơ; khuyến khích xây dựng và thực hiện các mô hình kiểu mẫu để làm cơ sở nhân rộng cho các cơ quan, đơn vị trong lĩnh vực và địa bàn quản lý;</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c) Thực hiện truyền thông, tập huấn nâng cao nhận thức cho công chức, viên chức, người lao động trong cơ quan, đơn vị về phân loại, thu gom, giảm thiểu chất thải nhựa; phối hợp các tổ chức, cá nhân có liên quan vận động người dân hạn chế hoặc không sử dụng các sản phẩm nhựa dùng một lần để bảo vệ môi trường.</w:t>
      </w:r>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4" w:name="dieu_2"/>
      <w:r w:rsidRPr="009964F8">
        <w:rPr>
          <w:rFonts w:ascii="Arial" w:eastAsia="Times New Roman" w:hAnsi="Arial" w:cs="Arial"/>
          <w:color w:val="000000"/>
          <w:sz w:val="18"/>
          <w:szCs w:val="18"/>
          <w:lang w:eastAsia="vi-VN"/>
        </w:rPr>
        <w:t>2. Bộ Tài nguyên và Môi trường:</w:t>
      </w:r>
      <w:bookmarkEnd w:id="4"/>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a) Hoàn thiện chế định quản lý chất thải rắn trong dự án Luật Bảo vệ môi trường (sửa đổi) theo hướng coi chất thải và chất thải nhựa là tài nguyên; thúc đẩy phát triển các mô hình kinh tế tuần hoàn; thực hiện tốt việc giảm thiểu, phân loại chất thải tại nguồn, thu gom, tái sử dụng, tái chế, xử lý chất thải (bao gồm chất thải nhựa). Xây dựng tài liệu kỹ thuật hướng dẫn phân loại rác thải tại nguồn. Nghiên cứu, đề xuất cơ chế hạn chế sản xuất, tiêu dùng và có lộ trình cấm sản xuất, tiêu dùng một số sản phẩm nhựa dùng một lần;</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 xml:space="preserve">b) Rà soát và sửa đổi, bổ sung Quyết định số 16/2015/QĐ-TTg ngày 22 tháng 05 năm 2015 của Thủ tướng Chính phủ quy định về thu hồi, xử lý sản phẩm thải bỏ theo hướng tăng cường trách nhiệm của nhà sản xuất, nhập khẩu, chủ sở hữu thương hiệu, nhà phân phối, bán lẻ hiện đại và truyền thống trong thu hồi, tái chế chất thải; bổ sung bao bì đóng gói sản phẩm vào danh mục sản phẩm thải bỏ phải thu hồi, tái chế. Nghiên cứu, đề </w:t>
      </w:r>
      <w:r w:rsidRPr="009964F8">
        <w:rPr>
          <w:rFonts w:ascii="Arial" w:eastAsia="Times New Roman" w:hAnsi="Arial" w:cs="Arial"/>
          <w:color w:val="000000"/>
          <w:sz w:val="18"/>
          <w:szCs w:val="18"/>
          <w:lang w:eastAsia="vi-VN"/>
        </w:rPr>
        <w:lastRenderedPageBreak/>
        <w:t>xuất cơ chế khuyến khích, hỗ trợ các doanh nghiệp, cơ sở tái chế chất thải chấp hành tốt pháp luật bảo vệ môi trường; thúc đẩy các mô hình hợp tác công tư, mô hình kinh doanh, kinh tế chia sẻ và thúc đẩy các sáng kiến, sự tham gia của các hiệp hội, các tổ chức, các doanh nghiệp nhằm giảm thiểu, tái sử dụng và tái chế chất thải rắn và chất thải nhựa;</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c) Nghiên cứu, xây dựng hàng rào kỹ thuật môi trường đối với các sản phẩm, hàng hóa chứa hạt vi nhựa, nano nhựa và túi ni-lông để phòng ngừa các tác động xấu đến sức khỏe con người, môi trường sinh thái; nghiên cứu, đề xuất lộ trình cấm sử dụng hạt vi nhựa trong sản xuất hóa mỹ phẩm, may mặc, phân bón.... Ban hành các quy chuẩn, quy định kỹ thuật môi trường cho các sản phẩm, hàng hóa nhựa tái chế bảo đảm yêu cầu bảo vệ môi trường. Rà soát, tiếp tục hoàn thiện quy định pháp luật về nhãn sinh thái đối với tủi ni-lông thân thiện môi trường và các sản phẩm nhựa có hàm lượng tái chế nhất định;</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d) Chủ trì, phối hợp với Bộ Công Thương tổ chức thống kê và định kỳ thống kê, phân loại nguyên liệu nhựa được sử dụng trong sản xuất, tiêu dùng và chất thải nhựa; xây dựng cơ sở dữ liệu về sử dụng nhựa và chất thải nhựa trên phạm vi toàn quốc; thực hiện các nghiên cứu về thực trạng, xu hướng phát sinh và công tác quản lý chất thải nhựa. Xây dựng, trình Thủ tướng Chính phủ đề án thành lập khu công nghiệp tái chế tập trung theo quy định của pháp luật để hình thành ngành công nghiệp, thị trường tái chế;</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đ) Thực hiện nghiêm các quy định về nhập khẩu phế liệu nhựa theo quy định của pháp luật về bảo vệ môi trường; chỉ được nhập khẩu phế liệu nhựa làm nguyên liệu sản xuất ra các sản phẩm, hàng hóa (không bao gồm hạt nhựa tái chế thương phẩm), trừ các trường hợp dự án đã được chấp thuận chủ trương đầu tư, cấp giấy chứng nhận đầu tư và cơ sở sản xuất đang hoạt động được phép nhập khẩu nhựa phế liệu để sản xuất ra hạt nhựa tái chế thương phẩm đến hết ngày 31 tháng 12 năm 2024. Không cấp phép cho các cơ sở nhập khẩu phế liệu chỉ để sơ chế, xử lý và bán lại phế liệu;</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e) Rà soát, sửa đổi Quyết định 73/2014/QĐ-TTg ngày 19 tháng 12 năm 2014 của Thủ tướng Chính phủ về danh mục phế liệu được phép nhập khẩu theo hướng chỉ cho phép nhập khẩu phế liệu nhựa sạch, có giá trị tái chế cao, không nhập khẩu phế liệu nhựa sử dụng một lần. Nghiên cứu và đề xuất tái xuất hoặc trả lại phế liệu nhựa nhập khẩu không đáp ứng yêu cầu bảo vệ môi trường;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g) Tổng kết tình hình thực hiện Quyết định số 582/QĐ-TTg ngày 11 tháng 4 năm 2013 của Thủ tướng Chính phủ về phê duyệt Đề án tăng cường kiểm soát ô nhiễm môi trường do sử dụng túi ni-lông khó phân hủy trong sinh hoạt đến năm 2020 và đề xuất chính sách, quy định pháp luật để quản lý, hạn chế, tiến tới không sử dụng túi ni-lông khó phân hủy trong sinh hoạt;</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h) Đề xuất giải pháp tổ chức thực hiện có hiệu quả Quyết định số 491/QĐ-TTg ngày 07 tháng 5 năm 2018 của Thủ tướng Chính phủ phê duyệt điều chỉnh Chiến lược quốc gia về quản lý tổng hợp chất thải rắn đến năm 2025, tầm nhìn đến năm 2050, tập trung thực hiện mục tiêu sử dụng 100% túi ni-lông thân thiện với môi trường tại các trung tâm thương mại, siêu thị phục vụ cho mục đích sinh hoạt thay thế cho túi ni-lông khó phân hủy; hạn chế và tiến tới chấm dứt việc nhập khẩu, sản xuất và cung cấp các loại túi ni-lông khó phân huỷ kể từ năm 2026 tại các trung tâm thương mại, siêu thị phục vụ cho mục đích sinh hoạt;</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i) Chủ trì tổ chức thực hiện Quyết định số 1746/QĐ-TTg ngày 04 tháng 12 năm 2019 của Thủ tướng Chính phủ ban hành Kế hoạch hành động quốc gia về quản lý rác thải nhựa đại dương đến năm 2030; xây dựng và vận hành Trung tâm quốc tế về rác thải nhựa đại dương; thiết lập và vận hành hệ thống cơ sở dữ liệu về chất thải nhựa và chất thải nhựa đại dương; tăng cường hợp tác quốc tế, chia sẻ thông tin, học hỏi kinh nghiệm giảm thiểu, phân loại, thu gom, tái chế và xử lý chất thải nhựa; chủ động tham gia thiết lập chính sách, cơ chế hợp tác toàn cầu, khu vực để xử lý vấn đề chất thải nhựa và chất thải nhựa đại dương. Vận động, thu hút đầu tư, chuyển giao công nghệ tiên tiến trong tái chế, xử lý chất thải nhựa;</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k) Xây dựng, thực hiện hiệu quả Kế hoạch tuyên truyền, truyền thông nâng cao nhận thức cộng đồng về giảm thiểu, phân loại, thu gom, tái chế, xử lý chất thải nhựa; hình thành ý thức, thói quen của người dân về giảm thiểu, phân loại chất thải nhựa; phát hiện, phổ biến và trao giải thưởng môi trường đối với các mô hình, giải pháp, sáng kiến về giảm thiểu, phân loại, thu gom, tái chế và xử lý chất thải nhựa; xây dựng cổng thông tin điện tử để chia sẻ thông tin, kiến thức về chất thải nhựa; nghiên cứu và đưa tiêu chí giảm thiểu, phân loại, thu gom chất thải nhựa trong đánh giá, xếp hạng kết quả hoạt động bảo vệ môi trường của các địa phương;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l) Thực hiện xã hội hóa, nâng cao vai trò của cộng đồng, doanh nghiệp trong hoạt động giảm thiểu chất thải nhựa, phân loại, thu gom, tái chế, xử lý chất thải nhựa; mở rộng các hình thức ưu đãi, hỗ trợ đối với các tổ chức, cá nhân sản xuất, phân phối, quảng bá, tiêu dùng các sản phẩm nhựa, túi ni-lông được gắn nhãn xanh; xây dựng, triển khai, hoàn thiện cơ sở dữ liệu về đăng ký, khai báo, quản lý việc sản xuất, sử dụng sản phẩm chứa chất thải nhựa, túi ni-lông; tăng cường truyền thông, triển khai nhân rộng, áp dụng hiệu quả các mô hình giảm thiểu, phân loại, thu gom chất thải nhựa, túi ni-lông tại các địa điểm, khu du lịch, đặc biệt các địa điểm, khu du lịch gắn liền với nguồn nước...;</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lastRenderedPageBreak/>
        <w:t>Chủ trì, phối hợp các tổ chức chính trị-xã hội, tổ chức xã hội, tổ chức quốc tế, doanh nghiệp triển khai các phong trào, mô hình chống chất thải nhựa, giảm thiểu chất thải nhựa, phân loại và thu gom chất thải nhựa; hỗ trợ và tạo điều kiện thuận lợi cho các hoạt động giảm thiểu chất thải nhựa, phân loại, thu gom, tái sử dụng, tái chế, xử lý chất thải nhựa.</w:t>
      </w:r>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5" w:name="dieu_3"/>
      <w:r w:rsidRPr="009964F8">
        <w:rPr>
          <w:rFonts w:ascii="Arial" w:eastAsia="Times New Roman" w:hAnsi="Arial" w:cs="Arial"/>
          <w:color w:val="000000"/>
          <w:sz w:val="18"/>
          <w:szCs w:val="18"/>
          <w:lang w:eastAsia="vi-VN"/>
        </w:rPr>
        <w:t>3. Bộ Tài chính:</w:t>
      </w:r>
      <w:bookmarkEnd w:id="5"/>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a) Nghiên cứu, trình cấp có thẩm quyền sửa đổi, bổ sung Luật Thuế bảo vệ môi trường theo hướng mở rộng đối tượng chịu thuế và tăng mức thuế đối với túi ni-lông, bao bì và sản phẩm nhựa khác; nghiên cứu đề xuất đánh thuế vật liệu nhựa gốc (virgin plastics); chỉ đạo thanh tra, kiểm tra ngăn chặn các hành vi trốn thuế bảo vệ môi trường, đặc biệt là đối với túi ni-lông;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b) Chủ trì, phối hợp Bộ Tài nguyên và Môi trường nghiên cứu, đề xuất chính sách tài chính nhằm thúc đẩy, khuyến khích các hoạt động tái chế chất thải và tái chế chất thải nhựa; ưu đãi, hỗ trợ đối với túi ni-lông thân thiện môi trường, các sản phẩm nhựa tái chế và các vật liệu thân thiện với môi trường. Nghiên cứu xây dựng tiêu chí ưu tiên hoặc định mức áp dụng mua sắm công đối với các sản phẩm tái chế, thân thiện môi trường;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c) Thống kê, tổng hợp, báo cáo Thủ tướng Chính phủ và gửi Bộ Tài nguyên và Môi trường số liệu về nhập khẩu nguyên liệu nhựa, phế liệu nhựa hàng năm.</w:t>
      </w:r>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6" w:name="dieu_4"/>
      <w:r w:rsidRPr="009964F8">
        <w:rPr>
          <w:rFonts w:ascii="Arial" w:eastAsia="Times New Roman" w:hAnsi="Arial" w:cs="Arial"/>
          <w:color w:val="000000"/>
          <w:sz w:val="18"/>
          <w:szCs w:val="18"/>
          <w:lang w:eastAsia="vi-VN"/>
        </w:rPr>
        <w:t>4. Bộ Công thương:</w:t>
      </w:r>
      <w:bookmarkEnd w:id="6"/>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a) Chỉ đạo thực hiện mục tiêu “Tiếp tục đẩy mạnh và sớm triển khai Kế hoạch thực hiện mục tiêu đến năm 2021 các cửa hàng, chợ, siêu thị ở đô thị không sử dụng đồ nhựa dùng một lần; đến năm 2025 cả nước không sử dụng đồ nhựa dùng một lần”;</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b) Nghiên cứu, ban hành quy định về tiêu chuẩn, quy chuẩn kỹ thuật chất lượng, thiết kế sản phẩm nhựa bảo đảm phục vụ cho tái chế, tái sử dụng; quy định tỷ lệ tối thiểu về hàm lượng nhựa tái sinh trong sản phẩm nhựa, độ bền và công khai thông tin về độ bền của các sản phẩm nhựa; xây dựng hướng dẫn về sản xuất, tiêu dùng sản phẩm nhựa bền vững. Ban hành các tiêu chuẩn, quy chuẩn kỹ thuật về chất lượng nhựa tái chế và các loại phụ gia độc hại trong vật liệu nhựa;</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c) Tổ chức đánh giá hiện trạng phát triển ngành nhựa và đề xuất định hướng, giải pháp phát triển ngành nhựa theo hướng phát triển bền vững, báo cáo Thủ tướng Chính phủ định trước ngày 31 tháng 12 năm 2020;</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d) Tổ chức rà soát, công bố các sản phẩm sản xuất trong nước và nhập khẩu có chứa vi nhựa, nano nhựa để người tiêu dùng biết.</w:t>
      </w:r>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7" w:name="dieu_5"/>
      <w:r w:rsidRPr="009964F8">
        <w:rPr>
          <w:rFonts w:ascii="Arial" w:eastAsia="Times New Roman" w:hAnsi="Arial" w:cs="Arial"/>
          <w:color w:val="000000"/>
          <w:sz w:val="18"/>
          <w:szCs w:val="18"/>
          <w:lang w:eastAsia="vi-VN"/>
        </w:rPr>
        <w:t>5. Bộ Nông nghiệp và Phát triển nông thôn xây dựng, thực hiện kế hoạch giảm thiểu, thu gom, tái chế chất thải nhựa trong ngành trồng trọt, chăn nuôi và thủy sản; thực hiện các giải pháp hạn chế sử dụng phao xốp trong ngành thủy sản (để làm nổi các lồng bè nuôi cá); xây dựng, thực hiện các giải pháp thu hồi các ngư cụ như lưới, phao bị thất lạc, bỏ quên hoặc thải bỏ trên biển (ALDFG) và thu hồi các bao bì thuốc bảo vệ thực vật, phân bón; chuẩn bị nguồn nguyên liệu cho các sản phẩm thay thế túi ni-lông khó phân hủy và đồ nhựa dùng một lần từ nông sản.</w:t>
      </w:r>
      <w:bookmarkEnd w:id="7"/>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8" w:name="dieu_6"/>
      <w:r w:rsidRPr="009964F8">
        <w:rPr>
          <w:rFonts w:ascii="Arial" w:eastAsia="Times New Roman" w:hAnsi="Arial" w:cs="Arial"/>
          <w:color w:val="000000"/>
          <w:sz w:val="18"/>
          <w:szCs w:val="18"/>
          <w:lang w:eastAsia="vi-VN"/>
        </w:rPr>
        <w:t>6. Bộ Y tế chỉ đạo thực hiện kế hoạch phân loại, giảm thiểu chất thải nhựa tại các bệnh viện, cơ sở y tế; chỉ đạo hướng dẫn việc phân loại rác tại bệnh viện, cơ sở y tế; đưa nội dung giảm thiểu chất thải nhựa là một tiêu chí đánh giá cơ sở y tế xanh, sạch, đẹp. Ban hành tiêu chuẩn chất lượng, yêu cầu vệ sinh đối với các sản phẩm nhựa tái chế làm bao bì đựng thực phẩm, các loại nước đóng chai...</w:t>
      </w:r>
      <w:bookmarkEnd w:id="8"/>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9" w:name="dieu_7"/>
      <w:r w:rsidRPr="009964F8">
        <w:rPr>
          <w:rFonts w:ascii="Arial" w:eastAsia="Times New Roman" w:hAnsi="Arial" w:cs="Arial"/>
          <w:color w:val="000000"/>
          <w:sz w:val="18"/>
          <w:szCs w:val="18"/>
          <w:lang w:eastAsia="vi-VN"/>
        </w:rPr>
        <w:t>7. Bộ Giáo dục và Đào tạo xây dựng, thực hiện kế hoạch phân loại chất thải và giảm thiểu chất thải nhựa trong các trường học, cơ sở giáo dục, đào tạo; xây dựng nội dung lồng ghép vào hoạt động giáo dục về phân loại chất thải tại nguồn cho học sinh, sinh viên; đưa nội dung phân loại chất thải và giảm thiểu chất thải nhựa thành một tiêu chí đánh giá trường học xanh, sạch, đẹp, an toàn.</w:t>
      </w:r>
      <w:bookmarkEnd w:id="9"/>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10" w:name="dieu_8"/>
      <w:r w:rsidRPr="009964F8">
        <w:rPr>
          <w:rFonts w:ascii="Arial" w:eastAsia="Times New Roman" w:hAnsi="Arial" w:cs="Arial"/>
          <w:color w:val="000000"/>
          <w:sz w:val="18"/>
          <w:szCs w:val="18"/>
          <w:lang w:eastAsia="vi-VN"/>
        </w:rPr>
        <w:t>8. Bộ Khoa học và Công nghệ thúc đẩy đổi mới, sáng tạo, nghiên cứu và chuyển giao công nghệ sản xuất vật liệu thân thiện với môi trường nhằm thay thế nhựa trong sản xuất, kinh doanh như: vật liệu nhựa phân hủy ở trong nước biển, vật liệu nhựa sinh học (bio plastic), ứng dụng công nghệ dùng xenlulo, thay thế vật liệu nhựa bằng giấy; thúc đẩy, hỗ trợ các nhiệm vụ nghiên cứu khoa học và công nghệ liên quan đến tái chế và xử lý chất thải nhựa; thẩm định quy chuẩn kỹ thuật quốc gia liên quan đến tái chế và xử lý chất thải nhựa.</w:t>
      </w:r>
      <w:bookmarkEnd w:id="10"/>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11" w:name="dieu_9"/>
      <w:r w:rsidRPr="009964F8">
        <w:rPr>
          <w:rFonts w:ascii="Arial" w:eastAsia="Times New Roman" w:hAnsi="Arial" w:cs="Arial"/>
          <w:color w:val="000000"/>
          <w:sz w:val="18"/>
          <w:szCs w:val="18"/>
          <w:lang w:eastAsia="vi-VN"/>
        </w:rPr>
        <w:t>9. Bộ Văn hóa, Thể thao và Du lịch nghiên cứu, bổ sung tiêu chuẩn giảm thiểu sử dụng sản phẩm nhựa dùng một lần và túi ni-lông khó phân hủy trong các cơ sở kinh doanh, dịch vụ lưu trú du lịch và dịch vụ du lịch khác tại các khu, điểm du lịch, các cơ sở thể dục thể thao quần chúng, các trung tâm huấn luyện và thi đấu thể thao, đặc biệt tại các vùng ven biển và đưa ra các phương án thay thế trong quy định hướng dẫn ngành du lịch dịch vụ.</w:t>
      </w:r>
      <w:bookmarkEnd w:id="11"/>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12" w:name="dieu_10"/>
      <w:r w:rsidRPr="009964F8">
        <w:rPr>
          <w:rFonts w:ascii="Arial" w:eastAsia="Times New Roman" w:hAnsi="Arial" w:cs="Arial"/>
          <w:color w:val="000000"/>
          <w:sz w:val="18"/>
          <w:szCs w:val="18"/>
          <w:lang w:eastAsia="vi-VN"/>
        </w:rPr>
        <w:t>10. Bộ Thông tin và Truyền thông, Đài Truyền hình Việt Nam, Đài Tiếng nói Việt Nam, Thông tấn xã Việt Nam chủ trì hoặc phối hợp các cơ quan, tổ chức, cá nhân có liên quan thực hiện chương trình truyền thông, tuyên truyền về giảm thiểu chất thải nhựa, phân loại, thu gom, tái chế, xử lý chất thải nhựa.</w:t>
      </w:r>
      <w:bookmarkEnd w:id="12"/>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13" w:name="dieu_11"/>
      <w:r w:rsidRPr="009964F8">
        <w:rPr>
          <w:rFonts w:ascii="Arial" w:eastAsia="Times New Roman" w:hAnsi="Arial" w:cs="Arial"/>
          <w:color w:val="000000"/>
          <w:sz w:val="18"/>
          <w:szCs w:val="18"/>
          <w:lang w:eastAsia="vi-VN"/>
        </w:rPr>
        <w:lastRenderedPageBreak/>
        <w:t>11. Ủy ban nhân dân các tỉnh, thành phố trực thuộc Trung ương:</w:t>
      </w:r>
      <w:bookmarkEnd w:id="13"/>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a) Tuyên truyền, nâng cao nhận thức cộng đồng về giảm thiểu chất thải nhựa, phân loại chất thải, chất thải nhựa; phối hợp các tổ chức chính trị-xã hội, tổ chức xã hội xây dựng phong trào, liên minh chống chất thải nhựa; vận động người dân, cộng đồng dân cư hạn chế hoặc không sử dụng các sản phẩm nhựa dùng một lần (bao gồm túi ni-lông khó phân hủy, bao gói nhựa thực phẩm, chai lọ nhựa, ống hút, hộp xốp đựng thực phẩm, cốc và bộ đồ ăn...) để bảo vệ môi trường;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b) Vận động các trung tâm thương mại, siêu thị, cửa hàng, chợ dân sinh, khách sạn, nhà hàng, quán nước, khu du lịch và các cơ sở sản xuất, kinh doanh, du lịch.v.v… trên địa bàn cam kết giảm thiểu chất thải nhựa, hạn chế sử dụng đồ nhựa dùng một lần hoặc thay thế bằng các sản phẩm thân thiện môi trường; không cung cấp miễn phí túi ni-lông cho khách hàng hoặc chuyển từ sử dụng túi ni-lông khó phân hủy sang các loại túi khác thân thiện với môi trường;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c) Nghiên cứu, học tập kinh nghiệm và triển khai thực hiện phân loại chất thải tại nguồn; bố trí hoặc chỉ đạo bố trí các thùng thu gom, phân loại rác và tập huấn, hướng dẫn phân loại rác tại các công sở, trường học, cơ sở y tế và các khu vực công cộng như sân bay, bến tàu, bến xe, trung tâm thương mại, siêu thị, chợ dân sinh, công viên, quảng trường, khu du lịch, danh lam thắng cảnh.... Tăng cường năng lực, hiệu quả công tác thu gom, xử lý chất thải rắn; thực hiện thu gom và xử lý riêng các loại chất thải đã được phân loại (bao gồm cả chất thải nhựa). Thực hiện thu phí dịch vụ thu gom rác đối với các tiểu thương tại các chợ dân sinh truyền thống;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d) Tổ chức và thực hiện các biện pháp kỹ thuật để thu gom chất thải nhựa trên các sông, rạch, kênh, mương... để hạn chế chất thải nhựa đổ ra đại dương; tiến hành và xã hội hóa các hoạt động thu gom, xử lý chất thải nhựa trên biển, sông, suối và các hồ, ao trong khu đô thị, khu dân cư;</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đ) Chỉ đạo tăng cường việc kiểm tra việc tuân thủ chính sách thuế bảo vệ môi trường, các quy định môi trường của các cơ sở cung cấp túi ni-lông cho các chợ dân sinh và cửa hàng buôn bán nhỏ; tăng cường thanh tra, kiểm soát chặt chẽ các làng nghề, cơ sở tái chế nhựa không bảo đảm các yêu cầu về bảo vệ môi trường.</w:t>
      </w:r>
    </w:p>
    <w:p w:rsidR="009964F8" w:rsidRPr="009964F8" w:rsidRDefault="009964F8" w:rsidP="009964F8">
      <w:pPr>
        <w:shd w:val="clear" w:color="auto" w:fill="FFFFFF"/>
        <w:spacing w:after="0" w:line="234" w:lineRule="atLeast"/>
        <w:rPr>
          <w:rFonts w:ascii="Arial" w:eastAsia="Times New Roman" w:hAnsi="Arial" w:cs="Arial"/>
          <w:color w:val="000000"/>
          <w:sz w:val="18"/>
          <w:szCs w:val="18"/>
          <w:lang w:eastAsia="vi-VN"/>
        </w:rPr>
      </w:pPr>
      <w:bookmarkStart w:id="14" w:name="dieu_12"/>
      <w:r w:rsidRPr="009964F8">
        <w:rPr>
          <w:rFonts w:ascii="Arial" w:eastAsia="Times New Roman" w:hAnsi="Arial" w:cs="Arial"/>
          <w:color w:val="000000"/>
          <w:sz w:val="18"/>
          <w:szCs w:val="18"/>
          <w:lang w:eastAsia="vi-VN"/>
        </w:rPr>
        <w:t>12. Tổ chức thực hiện:</w:t>
      </w:r>
      <w:bookmarkEnd w:id="14"/>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a) Bộ trưởng, Thủ trưởng cơ quan ngang bộ, cơ quan thuộc Chính phủ, Chủ tịch Ủy ban nhân dân tỉnh, thành phố trực thuộc Trung ương và tổ chức, cá nhân có liên quan có trách nhiệm chỉ đạo và thực hiện nghiêm túc Chỉ thị này.</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Bộ Tài nguyên và Môi trường theo dõi, đôn đốc, tổng hợp tình hình thực hiện Chỉ thị này và định kỳ hàng năm báo cáo Thủ tướng Chính phủ.</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b) Trân trọng đề nghị các cơ quan Đảng, Quốc hội, Ủy ban Thường vụ Quốc hội, Tòa án nhân dân tối cao, Viện Kiểm sát nhân dân tối cao, tổ chức chính trị-xã hội, tổ chức xã hội hưởng ứng phong trào chống chất thải nhựa của Thủ tướng Chính phủ; chỉ đạo các cơ quan, tổ chức trực thuộc ban hành, tích cực thực hiện kế hoạch giảm thiểu, phân loại, thu gom chất thải nhựa để góp phần bảo vệ môi trường./.</w:t>
      </w:r>
    </w:p>
    <w:p w:rsidR="009964F8" w:rsidRPr="009964F8" w:rsidRDefault="009964F8" w:rsidP="009964F8">
      <w:pPr>
        <w:shd w:val="clear" w:color="auto" w:fill="FFFFFF"/>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95"/>
        <w:gridCol w:w="4302"/>
      </w:tblGrid>
      <w:tr w:rsidR="009964F8" w:rsidRPr="009964F8" w:rsidTr="009964F8">
        <w:trPr>
          <w:trHeight w:val="3900"/>
          <w:tblCellSpacing w:w="0" w:type="dxa"/>
        </w:trPr>
        <w:tc>
          <w:tcPr>
            <w:tcW w:w="4795" w:type="dxa"/>
            <w:shd w:val="clear" w:color="auto" w:fill="FFFFFF"/>
            <w:tcMar>
              <w:top w:w="0" w:type="dxa"/>
              <w:left w:w="108" w:type="dxa"/>
              <w:bottom w:w="0" w:type="dxa"/>
              <w:right w:w="108" w:type="dxa"/>
            </w:tcMar>
            <w:hideMark/>
          </w:tcPr>
          <w:p w:rsidR="009964F8" w:rsidRPr="009964F8" w:rsidRDefault="009964F8" w:rsidP="009964F8">
            <w:pPr>
              <w:spacing w:before="120" w:after="120" w:line="234" w:lineRule="atLeast"/>
              <w:rPr>
                <w:rFonts w:ascii="Arial" w:eastAsia="Times New Roman" w:hAnsi="Arial" w:cs="Arial"/>
                <w:color w:val="000000"/>
                <w:sz w:val="18"/>
                <w:szCs w:val="18"/>
                <w:lang w:eastAsia="vi-VN"/>
              </w:rPr>
            </w:pPr>
            <w:r w:rsidRPr="009964F8">
              <w:rPr>
                <w:rFonts w:ascii="Arial" w:eastAsia="Times New Roman" w:hAnsi="Arial" w:cs="Arial"/>
                <w:b/>
                <w:bCs/>
                <w:i/>
                <w:iCs/>
                <w:color w:val="000000"/>
                <w:sz w:val="18"/>
                <w:szCs w:val="18"/>
                <w:lang w:eastAsia="vi-VN"/>
              </w:rPr>
              <w:br/>
              <w:t>Nơi nhận:</w:t>
            </w:r>
            <w:r w:rsidRPr="009964F8">
              <w:rPr>
                <w:rFonts w:ascii="Arial" w:eastAsia="Times New Roman" w:hAnsi="Arial" w:cs="Arial"/>
                <w:b/>
                <w:bCs/>
                <w:i/>
                <w:iCs/>
                <w:color w:val="222222"/>
                <w:sz w:val="18"/>
                <w:szCs w:val="18"/>
                <w:lang w:eastAsia="vi-VN"/>
              </w:rPr>
              <w:br/>
            </w:r>
            <w:r w:rsidRPr="009964F8">
              <w:rPr>
                <w:rFonts w:ascii="Arial" w:eastAsia="Times New Roman" w:hAnsi="Arial" w:cs="Arial"/>
                <w:color w:val="000000"/>
                <w:sz w:val="16"/>
                <w:szCs w:val="16"/>
                <w:lang w:eastAsia="vi-VN"/>
              </w:rPr>
              <w:t>- Ban Bí thư Trung ương Đảng;</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Thủ tướng, các Phó Thủ tướng Chính phủ;</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Các bộ, cơ quan ngang bộ, cơ quan thuộc Chính phủ;</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UBND các tỉnh, thành phố trực thuộc Trung ương;</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Văn phòng Trung ương Đảng;</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Văn phòng Tổng Bí thư;</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Văn phòng Quốc hội;</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Ban Tuyên giáo Trung ương;</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Ủy ban trung ương Mặt trận Tổ quốc Việt Nam;</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Cơ quan trung ương của các đoàn thể;</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Phòng Thương mại và Công nghiệp Việt Nam;</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VPCP: BTCN, các PCN, Trợ lý TTg, TGĐ Cổng TTĐT, các Vụ, Cục;</w:t>
            </w:r>
            <w:r w:rsidRPr="009964F8">
              <w:rPr>
                <w:rFonts w:ascii="Arial" w:eastAsia="Times New Roman" w:hAnsi="Arial" w:cs="Arial"/>
                <w:color w:val="222222"/>
                <w:sz w:val="16"/>
                <w:szCs w:val="16"/>
                <w:lang w:eastAsia="vi-VN"/>
              </w:rPr>
              <w:br/>
            </w:r>
            <w:r w:rsidRPr="009964F8">
              <w:rPr>
                <w:rFonts w:ascii="Arial" w:eastAsia="Times New Roman" w:hAnsi="Arial" w:cs="Arial"/>
                <w:color w:val="000000"/>
                <w:sz w:val="16"/>
                <w:szCs w:val="16"/>
                <w:lang w:eastAsia="vi-VN"/>
              </w:rPr>
              <w:t>- Lưu: VT, CN(2) </w:t>
            </w:r>
            <w:r w:rsidRPr="009964F8">
              <w:rPr>
                <w:rFonts w:ascii="Arial" w:eastAsia="Times New Roman" w:hAnsi="Arial" w:cs="Arial"/>
                <w:color w:val="000000"/>
                <w:sz w:val="16"/>
                <w:szCs w:val="16"/>
                <w:vertAlign w:val="subscript"/>
                <w:lang w:eastAsia="vi-VN"/>
              </w:rPr>
              <w:t>Vượng</w:t>
            </w:r>
          </w:p>
        </w:tc>
        <w:tc>
          <w:tcPr>
            <w:tcW w:w="4302" w:type="dxa"/>
            <w:shd w:val="clear" w:color="auto" w:fill="FFFFFF"/>
            <w:tcMar>
              <w:top w:w="0" w:type="dxa"/>
              <w:left w:w="108" w:type="dxa"/>
              <w:bottom w:w="0" w:type="dxa"/>
              <w:right w:w="108" w:type="dxa"/>
            </w:tcMar>
            <w:hideMark/>
          </w:tcPr>
          <w:p w:rsidR="009964F8" w:rsidRPr="009964F8" w:rsidRDefault="009964F8" w:rsidP="009964F8">
            <w:pPr>
              <w:spacing w:before="120" w:after="120" w:line="234" w:lineRule="atLeast"/>
              <w:jc w:val="center"/>
              <w:rPr>
                <w:rFonts w:ascii="Arial" w:eastAsia="Times New Roman" w:hAnsi="Arial" w:cs="Arial"/>
                <w:color w:val="000000"/>
                <w:sz w:val="18"/>
                <w:szCs w:val="18"/>
                <w:lang w:eastAsia="vi-VN"/>
              </w:rPr>
            </w:pPr>
            <w:r w:rsidRPr="009964F8">
              <w:rPr>
                <w:rFonts w:ascii="Arial" w:eastAsia="Times New Roman" w:hAnsi="Arial" w:cs="Arial"/>
                <w:b/>
                <w:bCs/>
                <w:color w:val="222222"/>
                <w:sz w:val="18"/>
                <w:szCs w:val="18"/>
                <w:lang w:eastAsia="vi-VN"/>
              </w:rPr>
              <w:t>THỦ TƯỚNG</w:t>
            </w:r>
            <w:r w:rsidRPr="009964F8">
              <w:rPr>
                <w:rFonts w:ascii="Arial" w:eastAsia="Times New Roman" w:hAnsi="Arial" w:cs="Arial"/>
                <w:color w:val="222222"/>
                <w:sz w:val="18"/>
                <w:szCs w:val="18"/>
                <w:lang w:eastAsia="vi-VN"/>
              </w:rPr>
              <w:br/>
            </w:r>
            <w:r w:rsidRPr="009964F8">
              <w:rPr>
                <w:rFonts w:ascii="Arial" w:eastAsia="Times New Roman" w:hAnsi="Arial" w:cs="Arial"/>
                <w:color w:val="222222"/>
                <w:sz w:val="18"/>
                <w:szCs w:val="18"/>
                <w:lang w:eastAsia="vi-VN"/>
              </w:rPr>
              <w:br/>
            </w:r>
            <w:r w:rsidRPr="009964F8">
              <w:rPr>
                <w:rFonts w:ascii="Arial" w:eastAsia="Times New Roman" w:hAnsi="Arial" w:cs="Arial"/>
                <w:color w:val="222222"/>
                <w:sz w:val="18"/>
                <w:szCs w:val="18"/>
                <w:lang w:eastAsia="vi-VN"/>
              </w:rPr>
              <w:br/>
            </w:r>
            <w:r w:rsidRPr="009964F8">
              <w:rPr>
                <w:rFonts w:ascii="Arial" w:eastAsia="Times New Roman" w:hAnsi="Arial" w:cs="Arial"/>
                <w:color w:val="222222"/>
                <w:sz w:val="18"/>
                <w:szCs w:val="18"/>
                <w:lang w:eastAsia="vi-VN"/>
              </w:rPr>
              <w:br/>
            </w:r>
            <w:r w:rsidRPr="009964F8">
              <w:rPr>
                <w:rFonts w:ascii="Arial" w:eastAsia="Times New Roman" w:hAnsi="Arial" w:cs="Arial"/>
                <w:color w:val="222222"/>
                <w:sz w:val="18"/>
                <w:szCs w:val="18"/>
                <w:lang w:eastAsia="vi-VN"/>
              </w:rPr>
              <w:br/>
            </w:r>
            <w:r w:rsidRPr="009964F8">
              <w:rPr>
                <w:rFonts w:ascii="Arial" w:eastAsia="Times New Roman" w:hAnsi="Arial" w:cs="Arial"/>
                <w:b/>
                <w:bCs/>
                <w:color w:val="222222"/>
                <w:sz w:val="18"/>
                <w:szCs w:val="18"/>
                <w:lang w:eastAsia="vi-VN"/>
              </w:rPr>
              <w:t>Nguyễn Xuân Phúc</w:t>
            </w:r>
          </w:p>
        </w:tc>
      </w:tr>
    </w:tbl>
    <w:p w:rsidR="00BF50A5" w:rsidRDefault="009964F8"/>
    <w:sectPr w:rsidR="00BF5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2A"/>
    <w:rsid w:val="00325FF2"/>
    <w:rsid w:val="0033102A"/>
    <w:rsid w:val="009964F8"/>
    <w:rsid w:val="00BB30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4F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4F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51">
      <w:bodyDiv w:val="1"/>
      <w:marLeft w:val="0"/>
      <w:marRight w:val="0"/>
      <w:marTop w:val="0"/>
      <w:marBottom w:val="0"/>
      <w:divBdr>
        <w:top w:val="none" w:sz="0" w:space="0" w:color="auto"/>
        <w:left w:val="none" w:sz="0" w:space="0" w:color="auto"/>
        <w:bottom w:val="none" w:sz="0" w:space="0" w:color="auto"/>
        <w:right w:val="none" w:sz="0" w:space="0" w:color="auto"/>
      </w:divBdr>
    </w:div>
    <w:div w:id="18097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2762</Words>
  <Characters>15748</Characters>
  <Application>Microsoft Office Word</Application>
  <DocSecurity>0</DocSecurity>
  <Lines>131</Lines>
  <Paragraphs>36</Paragraphs>
  <ScaleCrop>false</ScaleCrop>
  <Company>Microsoft</Company>
  <LinksUpToDate>false</LinksUpToDate>
  <CharactersWithSpaces>18474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2020-10-15T07:28:00Z</dcterms:created>
  <dcterms:modified xsi:type="dcterms:W3CDTF">2020-10-15T07:28:00Z</dcterms:modified>
</cp:coreProperties>
</file>